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StaRUG — Erforderliche Mehrheiten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Zur Annahme des Restrukturierungsplans ist erforderlich, dass in jeder Gruppe auf die dem Plan zustimmenden Gruppenmitglieder mindestens drei Viertel der Stimmrechte in dieser Gruppe entfallen.</w:t>
      </w:r>
    </w:p>
    <w:p>
      <w:r>
        <w:t xml:space="preserve">(2) Planbetroffene, denen eine Forderung oder ein Recht gemeinschaftlich zusteht, werden bei der Abstimmung als ein Planbetroffener behandelt. Entsprechendes gilt, wenn an einem Recht ein Pfandrecht oder ein Nießbrauch besteht.</w:t>
      </w:r>
    </w:p>
    <w:p>
      <w:r>
        <w:rPr>
          <w:color w:val="555555"/>
          <w:sz w:val="17"/>
        </w:rPr>
        <w:t xml:space="preserve">Zitiervorschlag: § 25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