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StaRUG — Stimmrecht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Das Stimmrecht richtet sich</w:t>
      </w:r>
    </w:p>
    <w:p>
      <w:pPr>
        <w:ind w:left="420"/>
      </w:pPr>
      <w:r>
        <w:t xml:space="preserve">1. bei Restrukturierungsforderungen nach deren Betrag, soweit sich aus Absatz 2 nichts anders ergibt,</w:t>
      </w:r>
    </w:p>
    <w:p>
      <w:pPr>
        <w:ind w:left="420"/>
      </w:pPr>
      <w:r>
        <w:t xml:space="preserve">2. bei Absonderungsanwartschaften und gruppeninternen Drittsicherheiten nach deren Wert und</w:t>
      </w:r>
    </w:p>
    <w:p>
      <w:pPr>
        <w:ind w:left="420"/>
      </w:pPr>
      <w:r>
        <w:t xml:space="preserve">3. bei Anteils- oder Mitgliedschaftsrechten nach dem Anteil am gezeichneten Kapital oder Vermögen des Schuldners; Stimmrechtsbeschränkungen, Sonder- oder Mehrstimmrechte bleiben außer Betracht.</w:t>
      </w:r>
    </w:p>
    <w:p>
      <w:r>
        <w:t xml:space="preserve">(2) Für Zwecke der Bestimmung des Stimmrechts, das Restrukturierungsforderungen gewähren, werden angesetzt:</w:t>
      </w:r>
    </w:p>
    <w:p>
      <w:pPr>
        <w:ind w:left="420"/>
      </w:pPr>
      <w:r>
        <w:t xml:space="preserve">1. bedingte Forderungen mit dem ihnen unter Berücksichtigung der Wahrscheinlichkeit des Bedingungseintritts zukommenden Wert;</w:t>
      </w:r>
    </w:p>
    <w:p>
      <w:pPr>
        <w:ind w:left="420"/>
      </w:pPr>
      <w:r>
        <w:t xml:space="preserve">2. unverzinsliche Forderungen mit dem Betrag, der sich in Anwendung des § 41 Absatz 2 der Insolvenzordnung durch Abzinsung auf den Tag der Planvorlage ergibt;</w:t>
      </w:r>
    </w:p>
    <w:p>
      <w:pPr>
        <w:ind w:left="420"/>
      </w:pPr>
      <w:r>
        <w:t xml:space="preserve">3. Forderungen, die auf Geldbeträge unbestimmter Höhe gerichtet oder in ausländischer Währung oder einer Rechnungseinheit ausgedrückt sind, mit dem nach § 45 der Insolvenzordnung zu bestimmenden Wert;</w:t>
      </w:r>
    </w:p>
    <w:p>
      <w:pPr>
        <w:ind w:left="420"/>
      </w:pPr>
      <w:r>
        <w:t xml:space="preserve">4. auf wiederkehrende Leistungen gerichtete Forderungen mit dem nach Maßgabe des § 46 der Insolvenzordnung bestimmten Wert.</w:t>
      </w:r>
    </w:p>
    <w:p>
      <w:r>
        <w:t xml:space="preserve">(3) Durch Absonderungsanwartschaften oder gruppeninterne Drittsicherheiten gesicherte Forderungen vermitteln in einer Gruppe von Restrukturierungsgläubigern nur insoweit ein Stimmrecht, wie der Schuldner für die gesicherten Forderungen auch persönlich haftet und der Inhaber der Absonderungsanwartschaft auf diese verzichtet oder mit einer abgesonderten Befriedigung ausfallen würde. Solange der Ausfall nicht feststeht, ist die Forderung mit dem mutmaßlichen Ausfall zu berücksichtigen.</w:t>
      </w:r>
    </w:p>
    <w:p>
      <w:r>
        <w:t xml:space="preserve">(4) Ist das auf eine Forderung oder ein Recht entfallende Stimmrecht streitig, kann der Schuldner der Abstimmung das Stimmrecht zugrunde legen, das er den Planbetroffenen zugewiesen hat. In der Dokumentation der Abstimmung vermerkt er, dass, inwieweit und aus welchem Grund das Stimmrecht streitig ist.</w:t>
      </w:r>
    </w:p>
    <w:p>
      <w:r>
        <w:rPr>
          <w:color w:val="555555"/>
          <w:sz w:val="17"/>
        </w:rPr>
        <w:t xml:space="preserve">Zitiervorschlag: § 24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