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StaRUG — Gerichtliches Planabstimmungsverfahren</w:t>
      </w:r>
    </w:p>
    <w:p>
      <w:r>
        <w:rPr>
          <w:color w:val="555555"/>
          <w:sz w:val="18"/>
        </w:rPr>
        <w:t xml:space="preserve">Unternehmensstabilisierungs- und -restrukturierungsgesetz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Der Schuldner kann den Restrukturierungsplan in einem gerichtlichen Verfahren zur Abstimmung stellen, welches nach den §§ 45 und 46 durchzuführen ist; die §§ 17 bis 22 finden in diesem Fall keine Anwendung.</w:t>
      </w:r>
    </w:p>
    <w:p>
      <w:r>
        <w:rPr>
          <w:color w:val="555555"/>
          <w:sz w:val="17"/>
        </w:rPr>
        <w:t xml:space="preserve">Zitiervorschlag: § 23 StaRUG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https://recht.nulegal.eu/gesetze/StaRUG/23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