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100 StaRUG — Übergang in den Stabilisierungs- und Restrukturierungsrahmen</w:t>
      </w:r>
    </w:p>
    <w:p>
      <w:r>
        <w:rPr>
          <w:color w:val="555555"/>
          <w:sz w:val="18"/>
        </w:rPr>
        <w:t xml:space="preserve">Unternehmensstabilisierungs- und -restrukturierungsgesetz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Nimmt der Schuldner Instrumente des Stabilisierungs- und Restrukturierungsrahmens in Anspruch, bleibt der Sanierungsmoderator im Amt, bis der Bestellungszeitraum abläuft, er nach § 99 abberufen wird oder ein Restrukturierungsbeauftragter bestellt wird.</w:t>
      </w:r>
    </w:p>
    <w:p>
      <w:r>
        <w:t xml:space="preserve">(2) Das Restrukturierungsgericht kann den Sanierungsmoderator zum Restrukturierungsbeauftragten bestellen.</w:t>
      </w:r>
    </w:p>
    <w:p>
      <w:r>
        <w:rPr>
          <w:color w:val="555555"/>
          <w:sz w:val="17"/>
        </w:rPr>
        <w:t xml:space="preserve">Zitiervorschlag: § 100 StaRUG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https://recht.nulegal.eu/gesetze/StaRUG/100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