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StZG — Zentrale Ethik-Kommission für Stammzellenforschung</w:t>
      </w:r>
    </w:p>
    <w:p>
      <w:r>
        <w:rPr>
          <w:color w:val="555555"/>
          <w:sz w:val="18"/>
        </w:rPr>
        <w:t xml:space="preserve">Stammzellgesetz</w:t>
      </w:r>
    </w:p>
    <w:p>
      <w:r>
        <w:rPr>
          <w:color w:val="555555"/>
          <w:sz w:val="18"/>
        </w:rPr>
        <w:t xml:space="preserve">Stand: 10.06.2019 (konsolidierte Textfassung, kein amtliches Inkrafttretensdatum)</w:t>
      </w:r>
    </w:p>
    <w:p>
      <w:r>
        <w:t xml:space="preserve">(1) Bei der zuständigen Behörde wird eine interdisziplinär zusammengesetzte, unabhängige Zentrale Ethik-Kommission für Stammzellenforschung eingerichtet, die sich aus neun Sachverständigen der Fachrichtungen Biologie, Ethik, Medizin und Theologie zusammensetzt. Vier der Sachverständigen werden aus den Fachrichtungen Ethik und Theologie, fünf der Sachverständigen aus den Fachrichtungen Biologie und Medizin berufen. Die Kommission wählt aus ihrer Mitte Vorsitz und Stellvertretung.</w:t>
      </w:r>
    </w:p>
    <w:p>
      <w:r>
        <w:t xml:space="preserve">(2) Die Mitglieder der Zentralen Ethik-Kommission für Stammzellenforschung werden von der Bundesregierung für die Dauer von drei Jahren berufen. Die Wiederberufung ist zulässig. Für jedes Mitglied wird in der Regel ein stellvertretendes Mitglied bestellt.</w:t>
      </w:r>
    </w:p>
    <w:p>
      <w:r>
        <w:t xml:space="preserve">(3) Die Mitglieder und die stellvertretenden Mitglieder sind unabhängig und an Weisungen nicht gebunden. Sie sind zur Verschwiegenheit verpflichtet. Die §§ 20 und 21 des Verwaltungsverfahrensgesetzes gelten entsprechend.</w:t>
      </w:r>
    </w:p>
    <w:p>
      <w:r>
        <w:t xml:space="preserve">(4) Die Bundesregierung wird ermächtigt, durch Rechtsverordnung das Nähere über die Berufung und das Verfahren der Zentralen Ethik-Kommission für Stammzellenforschung, die Heranziehung externer Sachverständiger sowie die Zusammenarbeit mit der zuständigen Behörde einschließlich der Fristen zu regeln.</w:t>
      </w:r>
    </w:p>
    <w:p>
      <w:r>
        <w:rPr>
          <w:color w:val="555555"/>
          <w:sz w:val="17"/>
        </w:rPr>
        <w:t xml:space="preserve">Zitiervorschlag: § 8 StZG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https://recht.nulegal.eu/gesetze/StZG/8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