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StZG — Bericht</w:t>
      </w:r>
    </w:p>
    <w:p>
      <w:r>
        <w:rPr>
          <w:color w:val="555555"/>
          <w:sz w:val="18"/>
        </w:rPr>
        <w:t xml:space="preserve">Stammzellgesetz</w:t>
      </w:r>
    </w:p>
    <w:p>
      <w:r>
        <w:rPr>
          <w:color w:val="555555"/>
          <w:sz w:val="18"/>
        </w:rPr>
        <w:t xml:space="preserve">Stand: 10.06.2019 (konsolidierte Textfassung, kein amtliches Inkrafttretensdatum)</w:t>
      </w:r>
    </w:p>
    <w:p>
      <w:r>
        <w:t xml:space="preserve">Die Bundesregierung übermittelt dem Deutschen Bundestag im Abstand von zwei Jahren, erstmals zum Ablauf des Jahres 2003, einen Erfahrungsbericht über die Durchführung des Gesetzes. Der Bericht stellt auch die Ergebnisse der Forschung an anderen Formen menschlicher Stammzellen dar.</w:t>
      </w:r>
    </w:p>
    <w:p>
      <w:r>
        <w:rPr>
          <w:color w:val="555555"/>
          <w:sz w:val="17"/>
        </w:rPr>
        <w:t xml:space="preserve">Zitiervorschlag: § 15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