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StZG — Anzeigepflicht</w:t>
      </w:r>
    </w:p>
    <w:p>
      <w:r>
        <w:rPr>
          <w:color w:val="555555"/>
          <w:sz w:val="18"/>
        </w:rPr>
        <w:t xml:space="preserve">Stammzellgesetz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das Forschungsvorhaben verantwortliche Person hat wesentliche nachträglich eingetretene Änderungen, die die Zulässigkeit der Einfuhr oder der Verwendung der embryonalen Stammzellen betreffen, unverzüglich der zuständigen Behörde anzuzeigen. § 6 bleibt unberührt.</w:t>
      </w:r>
    </w:p>
    <w:p>
      <w:r>
        <w:rPr>
          <w:color w:val="555555"/>
          <w:sz w:val="17"/>
        </w:rPr>
        <w:t xml:space="preserve">Zitiervorschlag: § 12 StZG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