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StZG — Vertraulichkeit von Angaben</w:t>
      </w:r>
    </w:p>
    <w:p>
      <w:r>
        <w:rPr>
          <w:color w:val="555555"/>
          <w:sz w:val="18"/>
        </w:rPr>
        <w:t xml:space="preserve">Stammzellgesetz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Antragsunterlagen nach § 6 sind vertraulich zu behandeln.</w:t>
      </w:r>
    </w:p>
    <w:p>
      <w:r>
        <w:t xml:space="preserve">(2) Abweichend von Absatz 1 können für die Aufnahme in das Register nach § 11 verwendet werden</w:t>
      </w:r>
    </w:p>
    <w:p>
      <w:pPr>
        <w:ind w:left="420"/>
      </w:pPr>
      <w:r>
        <w:t xml:space="preserve">1. die Angaben über die embryonalen Stammzellen nach § 4 Abs. 2 Nr. 1,</w:t>
      </w:r>
    </w:p>
    <w:p>
      <w:pPr>
        <w:ind w:left="420"/>
      </w:pPr>
      <w:r>
        <w:t xml:space="preserve">2. der Name und die berufliche Anschrift der für das Forschungsvorhaben verantwortlichen Person,</w:t>
      </w:r>
    </w:p>
    <w:p>
      <w:pPr>
        <w:ind w:left="420"/>
      </w:pPr>
      <w:r>
        <w:t xml:space="preserve">3. die Grunddaten des Forschungsvorhabens, insbesondere eine zusammenfassende Darstellung der geplanten Forschungsarbeiten einschließlich der maßgeblichen Gründe für ihre Hochrangigkeit, die Institution, in der sie durchgeführt werden sollen, und ihre voraussichtliche Dauer.</w:t>
      </w:r>
    </w:p>
    <w:p>
      <w:r>
        <w:t xml:space="preserve">(3) Wird der Antrag vor der Entscheidung über die Genehmigung zurückgezogen, hat die zuständige Behörde die über die Antragsunterlagen gespeicherten Daten zu löschen und die Antragsunterlagen zurückzugeben.</w:t>
      </w:r>
    </w:p>
    <w:p>
      <w:r>
        <w:rPr>
          <w:color w:val="555555"/>
          <w:sz w:val="17"/>
        </w:rPr>
        <w:t xml:space="preserve">Zitiervorschlag: § 10 StZG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https://recht.nulegal.eu/gesetze/StZG/10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