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StZG-KostV</w:t>
      </w:r>
    </w:p>
    <w:p>
      <w:r>
        <w:rPr>
          <w:color w:val="555555"/>
          <w:sz w:val="18"/>
        </w:rPr>
        <w:t xml:space="preserve">Kostenverordnung zum Stammzellgesetz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Auf Grund des § 7 Abs. 3 des Stammzellgesetzes vom 28. Juni 2002 (BGBl. I S. 2277), der durch Artikel 21 der Verordnung vom 25. November 2003 (BGBl. I S. 2304) geändert worden ist, in Verbindung mit dem 2. Abschnitt des Verwaltungskostengesetzes vom 23. Juni 1970 (BGBl. I S. 821) verordnet das Bundesministerium für Gesundheit und Soziale Sicherung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StZG-KostV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https://recht.nulegal.eu/gesetze/StZG-KostV/eingangsformel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