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StZG-KostV — Inkrafttreten</w:t>
      </w:r>
    </w:p>
    <w:p>
      <w:r>
        <w:rPr>
          <w:color w:val="555555"/>
          <w:sz w:val="18"/>
        </w:rPr>
        <w:t xml:space="preserve">Kostenverordnung zum Stammzellgesetz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StZG-KostV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https://recht.nulegal.eu/gesetze/StZG-KostV/6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