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StZG-KostV — Übergangsregelung</w:t>
      </w:r>
    </w:p>
    <w:p>
      <w:r>
        <w:rPr>
          <w:color w:val="555555"/>
          <w:sz w:val="18"/>
        </w:rPr>
        <w:t xml:space="preserve">Kostenverordnung zum Stammzellgesetz</w:t>
      </w:r>
    </w:p>
    <w:p>
      <w:r>
        <w:rPr>
          <w:color w:val="555555"/>
          <w:sz w:val="18"/>
        </w:rPr>
        <w:t xml:space="preserve">Historische Fassung: Stand 10.06.2019 bis 01.10.2021. Dies ist nicht die aktuelle Fassung.</w:t>
      </w:r>
    </w:p>
    <w:p>
      <w:r>
        <w:t xml:space="preserve">Für nach dieser Verordnung gebührenpflichtige individuell zurechenbare öffentliche Leistungen, die vor Inkrafttreten dieser Verordnung vorgenommen worden sind, können Gebühren nach Maßgabe der vorstehenden Vorschriften erhoben werden, soweit bei diesen Leistungen eine Gebührenfestsetzung ausdrücklich vorbehalten worden ist.</w:t>
      </w:r>
    </w:p>
    <w:p>
      <w:r>
        <w:rPr>
          <w:color w:val="555555"/>
          <w:sz w:val="17"/>
        </w:rPr>
        <w:t xml:space="preserve">Zitiervorschlag: § 5 StZG-KostV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https://recht.nulegal.eu/gesetze/StZG-KostV/5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