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StZG-KostV — Anwendungsbereich</w:t>
      </w:r>
    </w:p>
    <w:p>
      <w:r>
        <w:rPr>
          <w:color w:val="555555"/>
          <w:sz w:val="18"/>
        </w:rPr>
        <w:t xml:space="preserve">Kostenverordnung zum Stammzellgesetz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individuell zurechenbare öffentliche Leistungen nach dem Stammzellgesetz erhebt das Robert Koch-Institut Gebühren nach dieser Verordnung.</w:t>
      </w:r>
    </w:p>
    <w:p>
      <w:r>
        <w:rPr>
          <w:color w:val="555555"/>
          <w:sz w:val="17"/>
        </w:rPr>
        <w:t xml:space="preserve">Zitiervorschlag: § 1 StZG-KostV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https://recht.nulegal.eu/gesetze/StZG-KostV/1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