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StWV (Brandenburg) — Organe</w:t>
      </w:r>
    </w:p>
    <w:p>
      <w:r>
        <w:rPr>
          <w:color w:val="555555"/>
          <w:sz w:val="18"/>
        </w:rPr>
        <w:t xml:space="preserve">Studentenwerksverordnung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Organe des Studentenwerkes sind:</w:t>
      </w:r>
    </w:p>
    <w:p>
      <w:r>
        <w:t xml:space="preserve">der Verwaltungsrat nach § 77 des Brandenburgischen Hochschulgesetzes,</w:t>
      </w:r>
    </w:p>
    <w:p>
      <w:r>
        <w:t xml:space="preserve">der Geschäftsführer nach § 78 des Brandenburgischen Hochschulgesetzes.</w:t>
      </w:r>
    </w:p>
    <w:p>
      <w:r>
        <w:rPr>
          <w:color w:val="555555"/>
          <w:sz w:val="17"/>
        </w:rPr>
        <w:t xml:space="preserve">Zitiervorschlag: § 3 StWV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https://recht.nulegal.eu/gesetze/StWV/3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