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StWG (Nordrhein-Westfalen)</w:t>
      </w:r>
    </w:p>
    <w:p>
      <w:r>
        <w:rPr>
          <w:color w:val="555555"/>
          <w:sz w:val="18"/>
        </w:rPr>
        <w:t xml:space="preserve">Studierendenwerksgesetz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16. September 2014</w:t>
      </w:r>
    </w:p>
    <w:p>
      <w:r>
        <w:t xml:space="preserve">(Artikel 4 des Hochschulzukunftsgesetzes vom 16. September 2014 (GV. NRW. S. 547)).</w:t>
      </w:r>
    </w:p>
    <w:p>
      <w:r>
        <w:rPr>
          <w:color w:val="555555"/>
          <w:sz w:val="17"/>
        </w:rPr>
        <w:t xml:space="preserve">Zitiervorschlag: Volltext StWG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https://recht.nulegal.eu/gesetze/StWG/volltext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