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StVorV — Einstellung</w:t>
      </w:r>
    </w:p>
    <w:p>
      <w:r>
        <w:rPr>
          <w:color w:val="555555"/>
          <w:sz w:val="18"/>
        </w:rPr>
        <w:t xml:space="preserve">Stellenvorbehaltsverordnung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Behörde unterrichtet die Vormerkstelle unverzüglich von der erfolgten Einstellung des Bewerbers.</w:t>
      </w:r>
    </w:p>
    <w:p>
      <w:r>
        <w:t xml:space="preserve">(2) Kann ein geeigneter Bewerber nicht eingestellt werden oder ist ein Bewerber nicht geeignet, so teilt die Behörde dies unverzüglich der zuständigen Vormerkstelle und dem Bewerber unter Angabe der Gründe mit.</w:t>
      </w:r>
    </w:p>
    <w:p>
      <w:r>
        <w:t xml:space="preserve">(3) Kann ein Bewerber nicht entsprechend seinen Verwendungswünschen eingestellt werden, so prüft die Vormerkstelle mit dem Bewerber, ob für ihn eine anderweitige Einstellung in Betracht kommt.</w:t>
      </w:r>
    </w:p>
    <w:p>
      <w:r>
        <w:rPr>
          <w:color w:val="555555"/>
          <w:sz w:val="17"/>
        </w:rPr>
        <w:t xml:space="preserve">Zitiervorschlag: § 9 StVorV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