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StVorV — Einrichtung</w:t>
      </w:r>
    </w:p>
    <w:p>
      <w:r>
        <w:rPr>
          <w:color w:val="555555"/>
          <w:sz w:val="18"/>
        </w:rPr>
        <w:t xml:space="preserve">Stellenvorbehaltsverordnung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Bundesverwaltungsamt nimmt die Aufgaben der Vormerkstelle des Bundes wahr.</w:t>
      </w:r>
    </w:p>
    <w:p>
      <w:r>
        <w:t xml:space="preserve">(2) Die Länder richten ihre Vormerkstellen in eigener Zuständigkeit ein.</w:t>
      </w:r>
    </w:p>
    <w:p>
      <w:r>
        <w:rPr>
          <w:color w:val="555555"/>
          <w:sz w:val="17"/>
        </w:rPr>
        <w:t xml:space="preserve">Zitiervorschlag: § 4 StVorV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