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StVorV — Inkrafttreten, Außerkrafttreten</w:t>
      </w:r>
    </w:p>
    <w:p>
      <w:r>
        <w:rPr>
          <w:color w:val="555555"/>
          <w:sz w:val="18"/>
        </w:rPr>
        <w:t xml:space="preserve">Stellenvorbehaltsverordnung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14 StVorV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