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StVorV — Freigabe von Stellen</w:t>
      </w:r>
    </w:p>
    <w:p>
      <w:r>
        <w:rPr>
          <w:color w:val="555555"/>
          <w:sz w:val="18"/>
        </w:rPr>
        <w:t xml:space="preserve">Stellenvorbehaltsverordnung</w:t>
      </w:r>
    </w:p>
    <w:p>
      <w:r>
        <w:rPr>
          <w:color w:val="555555"/>
          <w:sz w:val="18"/>
        </w:rPr>
        <w:t xml:space="preserve">Stand: 10.06.2019 (konsolidierte Textfassung, kein amtliches Inkrafttretensdatum)</w:t>
      </w:r>
    </w:p>
    <w:p>
      <w:r>
        <w:t xml:space="preserve">Vorbehaltene Stellen, die von der Vormerkstelle bis zum Bewerbungsendtermin der jeweiligen Laufbahn nicht mit ausreichend qualifizierten Eingliederungsberechtigten besetzt werden können, gelten als freigegeben. Die jeweiligen Bewerbungsendtermine werden gesondert bekanntgegeben. Vor dem Bewerbungsendtermin ist eine anderweitige Besetzung nicht zulässig.</w:t>
      </w:r>
    </w:p>
    <w:p>
      <w:r>
        <w:rPr>
          <w:color w:val="555555"/>
          <w:sz w:val="17"/>
        </w:rPr>
        <w:t xml:space="preserve">Zitiervorschlag: § 11 StVorV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