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StVorV — Zuständigkeit</w:t>
      </w:r>
    </w:p>
    <w:p>
      <w:r>
        <w:rPr>
          <w:color w:val="555555"/>
          <w:sz w:val="18"/>
        </w:rPr>
        <w:t xml:space="preserve">Stellenvorbehaltsverordnung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Berechnung und Bestimmung der nach 14 Abs. 1 und 2 des Gesetzes den Inhabern eines Eingliederungsscheins, eines Zulassungsscheins oder einer Bestätigung über den bei Ablauf der Verpflichtungszeit bestehenden Anspruch (Eingliederungsberechtigte) vorzubehaltenden Stellen sind zuständig</w:t>
      </w:r>
    </w:p>
    <w:p>
      <w:pPr>
        <w:ind w:left="420"/>
      </w:pPr>
      <w:r>
        <w:t xml:space="preserve">1. beim Bund</w:t>
      </w:r>
    </w:p>
    <w:p>
      <w:pPr>
        <w:ind w:left="780"/>
      </w:pPr>
      <w:r>
        <w:t xml:space="preserve">a) die obersten Bundesbehörden für ihren Geschäftsbereich oder eine von der obersten Bundesbehörde bestimmte Behörde,</w:t>
      </w:r>
    </w:p>
    <w:p>
      <w:pPr>
        <w:ind w:left="780"/>
      </w:pPr>
      <w:r>
        <w:t xml:space="preserve">b) die bundesunmittelbaren Körperschaften sowie die rechtsfähigen Anstalten und Stiftungen des öffentlichen Rechts für ihren Bereich,</w:t>
      </w:r>
    </w:p>
    <w:p>
      <w:pPr>
        <w:ind w:left="780"/>
      </w:pPr>
      <w:r>
        <w:t xml:space="preserve">c) das Bundesamt für Soziale Sicherung für die seiner Aufsicht unterstehenden Körperschaften und Anstalten des öffentlichen Rechts,</w:t>
      </w:r>
    </w:p>
    <w:p>
      <w:pPr>
        <w:ind w:left="780"/>
      </w:pPr>
      <w:r>
        <w:t xml:space="preserve">d) der Präsident des Bundeseisenbahnvermögens für seinen Bereich,</w:t>
      </w:r>
    </w:p>
    <w:p>
      <w:pPr>
        <w:ind w:left="420"/>
      </w:pPr>
      <w:r>
        <w:t xml:space="preserve">2. bei den Ländern und für die Gemeinden (Gemeindeverbände) sowie für die der Aufsicht des Landes unterstehenden anderen Körperschaften, Anstalten und Stiftungen des öffentlichen Rechts die von den Ländern bestimmten Behörden.</w:t>
      </w:r>
    </w:p>
    <w:p>
      <w:r>
        <w:rPr>
          <w:color w:val="555555"/>
          <w:sz w:val="17"/>
        </w:rPr>
        <w:t xml:space="preserve">Zitiervorschlag: § 1 StVorV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