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StVollzG — Allgemeine Vorschriften für den Schußwaffengebrauch</w:t>
      </w:r>
    </w:p>
    <w:p>
      <w:r>
        <w:rPr>
          <w:color w:val="555555"/>
          <w:sz w:val="18"/>
        </w:rPr>
        <w:t xml:space="preserve">Strafvollzugsgesetz</w:t>
      </w:r>
    </w:p>
    <w:p>
      <w:r>
        <w:rPr>
          <w:color w:val="555555"/>
          <w:sz w:val="18"/>
        </w:rPr>
        <w:t xml:space="preserve">Stand: 10.06.2019 (konsolidierte Textfassung, kein amtliches Inkrafttretensdatum)</w:t>
      </w:r>
    </w:p>
    <w:p>
      <w:r>
        <w:t xml:space="preserve">(1) Schußwaffen dürfen nur gebraucht werden, wenn andere Maßnahmen des unmittelbaren Zwanges bereits erfolglos waren oder keinen Erfolg versprechen. Gegen Personen ist ihr Gebrauch nur zulässig, wenn der Zweck nicht durch Waffenwirkung gegen Sachen erreicht wird.</w:t>
      </w:r>
    </w:p>
    <w:p>
      <w:r>
        <w:t xml:space="preserve">(2) Schußwaffen dürfen nur die dazu bestimmten Vollzugsbediensteten gebrauchen und nur, um angriffs- oder fluchtunfähig zu machen. Ihr Gebrauch unterbleibt, wenn dadurch erkennbar Unbeteiligte mit hoher Wahrscheinlichkeit gefährdet würden.</w:t>
      </w:r>
    </w:p>
    <w:p>
      <w:r>
        <w:t xml:space="preserve">(3) Der Gebrauch von Schußwaffen ist vorher anzudrohen. Als Androhung gilt auch ein Warnschuß. Ohne Androhung dürfen Schußwaffen nur dann gebraucht werden, wenn das zur Abwehr einer gegenwärtigen Gefahr für Leib oder Leben erforderlich ist.</w:t>
      </w:r>
    </w:p>
    <w:p>
      <w:r>
        <w:rPr>
          <w:color w:val="555555"/>
          <w:sz w:val="17"/>
        </w:rPr>
        <w:t xml:space="preserve">Zitiervorschlag: § 99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