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StVollzG — Handeln auf Anordnung</w:t>
      </w:r>
    </w:p>
    <w:p>
      <w:r>
        <w:rPr>
          <w:color w:val="555555"/>
          <w:sz w:val="18"/>
        </w:rPr>
        <w:t xml:space="preserve">Strafvollzugsgesetz</w:t>
      </w:r>
    </w:p>
    <w:p>
      <w:r>
        <w:rPr>
          <w:color w:val="555555"/>
          <w:sz w:val="18"/>
        </w:rPr>
        <w:t xml:space="preserve">Stand: 10.06.2019 (konsolidierte Textfassung, kein amtliches Inkrafttretensdatum)</w:t>
      </w:r>
    </w:p>
    <w:p>
      <w:r>
        <w:t xml:space="preserve">(1) Wird unmittelbarer Zwang von einem Vorgesetzten oder einer sonst befugten Person angeordnet, sind Vollzugsbedienstete verpflichtet, ihn anzuwenden, es sei denn, die Anordnung verletzt die Menschenwürde oder ist nicht zu dienstlichen Zwecken erteilt worden.</w:t>
      </w:r>
    </w:p>
    <w:p>
      <w:r>
        <w:t xml:space="preserve">(2) Die Anordnung darf nicht befolgt werden, wenn dadurch eine Straftat begangen würde. Befolgt der Vollzugsbedienstete sie trotzdem, trifft ihn eine Schuld nur, wenn er erkennt oder wenn es nach den ihm bekannten Umständen offensichtlich ist, daß dadurch eine Straftat begangen wird.</w:t>
      </w:r>
    </w:p>
    <w:p>
      <w:r>
        <w:t xml:space="preserve">(3) Bedenken gegen die Rechtmäßigkeit der Anordnung hat der Vollzugsbedienstete dem Anordnenden gegenüber vorzubringen, soweit das nach den Umständen möglich ist. Abweichende Vorschriften des allgemeinen Beamtenrechts über die Mitteilung solcher Bedenken an einen Vorgesetzten (§ 36 Abs. 2 und 3 des Beamtenstatusgesetzes) sind nicht anzuwenden.</w:t>
      </w:r>
    </w:p>
    <w:p>
      <w:r>
        <w:rPr>
          <w:color w:val="555555"/>
          <w:sz w:val="17"/>
        </w:rPr>
        <w:t xml:space="preserve">Zitiervorschlag: § 97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