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95 StVollzG — Begriffsbestimmungen</w:t>
      </w:r>
    </w:p>
    <w:p>
      <w:r>
        <w:rPr>
          <w:color w:val="555555"/>
          <w:sz w:val="18"/>
        </w:rPr>
        <w:t xml:space="preserve">Strafvollzugsgesetz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Unmittelbarer Zwang ist die Einwirkung auf Personen oder Sachen durch körperliche Gewalt, ihre Hilfsmittel und durch Waffen.</w:t>
      </w:r>
    </w:p>
    <w:p>
      <w:r>
        <w:t xml:space="preserve">(2) Körperliche Gewalt ist jede unmittelbare körperliche Einwirkung auf Personen oder Sachen.</w:t>
      </w:r>
    </w:p>
    <w:p>
      <w:r>
        <w:t xml:space="preserve">(3) Hilfsmittel der körperlichen Gewalt sind namentlich Fesseln.</w:t>
      </w:r>
    </w:p>
    <w:p>
      <w:r>
        <w:t xml:space="preserve">(4) Waffen sind die dienstlich zugelassenen Hieb- und Schußwaffen sowie Reizstoffe.</w:t>
      </w:r>
    </w:p>
    <w:p>
      <w:r>
        <w:rPr>
          <w:color w:val="555555"/>
          <w:sz w:val="17"/>
        </w:rPr>
        <w:t xml:space="preserve">Zitiervorschlag: § 95 StVollzG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https://recht.nulegal.eu/gesetze/StVollzG/95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