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93 StVollzG — Ersatz von Aufwendungen</w:t>
      </w:r>
    </w:p>
    <w:p>
      <w:r>
        <w:rPr>
          <w:color w:val="555555"/>
          <w:sz w:val="18"/>
        </w:rPr>
        <w:t xml:space="preserve">Strafvollzugsgesetz</w:t>
      </w:r>
    </w:p>
    <w:p>
      <w:r>
        <w:rPr>
          <w:color w:val="555555"/>
          <w:sz w:val="18"/>
        </w:rPr>
        <w:t xml:space="preserve">Stand: 10.06.2019 (konsolidierte Textfassung, kein amtliches Inkrafttretensdatum)</w:t>
      </w:r>
    </w:p>
    <w:p>
      <w:r>
        <w:t xml:space="preserve">(1) Der Gefangene ist verpflichtet, der Vollzugsbehörde Aufwendungen zu ersetzen, die er durch eine vorsätzliche oder grob fahrlässige Selbstverletzung oder Verletzung eines anderen Gefangenen verursacht hat. Ansprüche aus sonstigen Rechtsvorschriften bleiben unberührt.</w:t>
      </w:r>
    </w:p>
    <w:p>
      <w:r>
        <w:t xml:space="preserve">(2) Bei der Geltendmachung dieser Forderungen kann auch ein den dreifachen Tagessatz der Eckvergütung nach § 43 Abs. 2 übersteigender Teil des Hausgeldes (§ 47) in Anspruch genommen werden.</w:t>
      </w:r>
    </w:p>
    <w:p>
      <w:r>
        <w:t xml:space="preserve">(3) Für die in Absatz 1 genannten Forderungen ist der ordentliche Rechtsweg gegeben.</w:t>
      </w:r>
    </w:p>
    <w:p>
      <w:r>
        <w:t xml:space="preserve">(4) Von der Aufrechnung oder Vollstreckung wegen der in Absatz 1 genannten Forderungen ist abzusehen, wenn hierdurch die Behandlung des Gefangenen oder seine Eingliederung behindert würde.</w:t>
      </w:r>
    </w:p>
    <w:p>
      <w:r>
        <w:rPr>
          <w:color w:val="555555"/>
          <w:sz w:val="17"/>
        </w:rPr>
        <w:t xml:space="preserve">Zitiervorschlag: § 93 StVollzG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https://recht.nulegal.eu/gesetze/StVollzG/93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93 StVollzG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