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StVollzG — Anordnung besonderer Sicherungsmaßnahmen</w:t>
      </w:r>
    </w:p>
    <w:p>
      <w:r>
        <w:rPr>
          <w:color w:val="555555"/>
          <w:sz w:val="18"/>
        </w:rPr>
        <w:t xml:space="preserve">Strafvollzugsgesetz</w:t>
      </w:r>
    </w:p>
    <w:p>
      <w:r>
        <w:rPr>
          <w:color w:val="555555"/>
          <w:sz w:val="18"/>
        </w:rPr>
        <w:t xml:space="preserve">Stand: 10.06.2019 (konsolidierte Textfassung, kein amtliches Inkrafttretensdatum)</w:t>
      </w:r>
    </w:p>
    <w:p>
      <w:r>
        <w:t xml:space="preserve">(1) Besondere Sicherungsmaßnahmen ordnet der Anstaltsleiter an. Bei Gefahr im Verzug können auch andere Bedienstete der Anstalt diese Maßnahmen vorläufig anordnen. Die Entscheidung des Anstaltsleiters ist unverzüglich einzuholen.</w:t>
      </w:r>
    </w:p>
    <w:p>
      <w:r>
        <w:t xml:space="preserve">(2) Wird ein Gefangener ärztlich behandelt oder beobachtet oder bildet sein seelischer Zustand den Anlaß der Maßnahme, ist vorher der Arzt zu hören. Ist dies wegen Gefahr im Verzug nicht möglich, wird seine Stellungnahme unverzüglich eingeholt.</w:t>
      </w:r>
    </w:p>
    <w:p>
      <w:r>
        <w:rPr>
          <w:color w:val="555555"/>
          <w:sz w:val="17"/>
        </w:rPr>
        <w:t xml:space="preserve">Zitiervorschlag: § 91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