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StVollzG — Verlegung in eine sozialtherapeutische Anstalt</w:t>
      </w:r>
    </w:p>
    <w:p>
      <w:r>
        <w:rPr>
          <w:color w:val="555555"/>
          <w:sz w:val="18"/>
        </w:rPr>
        <w:t xml:space="preserve">Strafvollzugsgesetz</w:t>
      </w:r>
    </w:p>
    <w:p>
      <w:r>
        <w:rPr>
          <w:color w:val="555555"/>
          <w:sz w:val="18"/>
        </w:rPr>
        <w:t xml:space="preserve">Stand: 10.06.2019 (konsolidierte Textfassung, kein amtliches Inkrafttretensdatum)</w:t>
      </w:r>
    </w:p>
    <w:p>
      <w:r>
        <w:t xml:space="preserve">(1) Ein Gefangener ist in eine sozialtherapeutische Anstalt zu verlegen, wenn er wegen einer Straftat nach den §§ 174 bis 180 oder 182 des Strafgesetzbuches zu zeitiger Freiheitsstrafe von mehr als zwei Jahren verurteilt worden ist und die Behandlung in einer sozialtherapeutischen Anstalt nach § 6 Abs. 2 Satz 2 oder § 7 Abs. 4 angezeigt ist. Der Gefangene ist zurückzuverlegen, wenn der Zweck der Behandlung aus Gründen, die in der Person des Gefangenen liegen, nicht erreicht werden kann.</w:t>
      </w:r>
    </w:p>
    <w:p>
      <w:r>
        <w:t xml:space="preserve">(2) Andere Gefangene können mit ihrer Zustimmung in eine sozialtherapeutische Anstalt verlegt werden, wenn die besonderen therapeutischen Mittel und sozialen Hilfen der Anstalt zu ihrer Resozialisierung angezeigt sind. In diesen Fällen bedarf die Verlegung der Zustimmung des Leiters der sozialtherapeutischen Anstalt.</w:t>
      </w:r>
    </w:p>
    <w:p>
      <w:r>
        <w:t xml:space="preserve">(3) Die §§ 8 und 85 bleiben unberührt.</w:t>
      </w:r>
    </w:p>
    <w:p>
      <w:r>
        <w:rPr>
          <w:color w:val="555555"/>
          <w:sz w:val="17"/>
        </w:rPr>
        <w:t xml:space="preserve">Zitiervorschlag: § 9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