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StVollzG — Einzelhaft</w:t>
      </w:r>
    </w:p>
    <w:p>
      <w:r>
        <w:rPr>
          <w:color w:val="555555"/>
          <w:sz w:val="18"/>
        </w:rPr>
        <w:t xml:space="preserve">Strafvollzugsgesetz</w:t>
      </w:r>
    </w:p>
    <w:p>
      <w:r>
        <w:rPr>
          <w:color w:val="555555"/>
          <w:sz w:val="18"/>
        </w:rPr>
        <w:t xml:space="preserve">Stand: 10.06.2019 (konsolidierte Textfassung, kein amtliches Inkrafttretensdatum)</w:t>
      </w:r>
    </w:p>
    <w:p>
      <w:r>
        <w:t xml:space="preserve">(1) Die unausgesetzte Absonderung eines Gefangenen (Einzelhaft) ist nur zulässig, wenn dies aus Gründen, die in der Person des Gefangenen liegen, unerläßlich ist.</w:t>
      </w:r>
    </w:p>
    <w:p>
      <w:r>
        <w:t xml:space="preserve">(2) Einzelhaft von mehr als drei Monaten Gesamtdauer in einem Jahr bedarf der Zustimmung der Aufsichtsbehörde. Diese Frist wird nicht dadurch unterbrochen, daß der Gefangene am Gottesdienst oder an der Freistunde teilnimmt.</w:t>
      </w:r>
    </w:p>
    <w:p>
      <w:r>
        <w:rPr>
          <w:color w:val="555555"/>
          <w:sz w:val="17"/>
        </w:rPr>
        <w:t xml:space="preserve">Zitiervorschlag: § 89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https://recht.nulegal.eu/gesetze/StVollzG/89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