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StVollzG — Persönlicher Gewahrsam. Eigengeld</w:t>
      </w:r>
    </w:p>
    <w:p>
      <w:r>
        <w:rPr>
          <w:color w:val="555555"/>
          <w:sz w:val="18"/>
        </w:rPr>
        <w:t xml:space="preserve">Strafvollzugsgesetz</w:t>
      </w:r>
    </w:p>
    <w:p>
      <w:r>
        <w:rPr>
          <w:color w:val="555555"/>
          <w:sz w:val="18"/>
        </w:rPr>
        <w:t xml:space="preserve">Stand: 10.06.2019 (konsolidierte Textfassung, kein amtliches Inkrafttretensdatum)</w:t>
      </w:r>
    </w:p>
    <w:p>
      <w:r>
        <w:t xml:space="preserve">(1) Der Gefangene darf nur Sachen in Gewahrsam haben oder annehmen, die ihm von der Vollzugsbehörde oder mit ihrer Zustimmung überlassen werden. Ohne Zustimmung darf er Sachen von geringem Wert von einem anderen Gefangenen annehmen; die Vollzugsbehörde kann Annahme und Gewahrsam auch dieser Sachen von ihrer Zustimmung abhängig machen.</w:t>
      </w:r>
    </w:p>
    <w:p>
      <w:r>
        <w:t xml:space="preserve">(2) Eingebrachte Sachen, die der Gefangene nicht in Gewahrsam haben darf, sind für ihn aufzubewahren, sofern dies nach Art und Umfang möglich ist. Geld wird ihm als Eigengeld gutgeschrieben. Dem Gefangenen wird Gelegenheit gegeben, seine Sachen, die er während des Vollzuges und für seine Entlassung nicht benötigt, abzusenden oder über sein Eigengeld zu verfügen, soweit dieses nicht als Überbrückungsgeld notwendig ist.</w:t>
      </w:r>
    </w:p>
    <w:p>
      <w:r>
        <w:t xml:space="preserve">(3) Weigert sich ein Gefangener, eingebrachtes Gut, dessen Aufbewahrung nach Art und Umfang nicht möglich ist, aus der Anstalt zu verbringen, so ist die Vollzugsbehörde berechtigt, diese Gegenstände auf Kosten des Gefangenen aus der Anstalt entfernen zu lassen.</w:t>
      </w:r>
    </w:p>
    <w:p>
      <w:r>
        <w:t xml:space="preserve">(4) Aufzeichnungen und andere Gegenstände, die Kenntnisse über Sicherungsvorkehrungen der Anstalt vermitteln, dürfen von der Vollzugsbehörde vernichtet oder unbrauchbar gemacht werden.</w:t>
      </w:r>
    </w:p>
    <w:p>
      <w:r>
        <w:rPr>
          <w:color w:val="555555"/>
          <w:sz w:val="17"/>
        </w:rPr>
        <w:t xml:space="preserve">Zitiervorschlag: § 83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