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82 StVollzG — Verhaltensvorschriften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Gefangene hat sich nach der Tageseinteilung der Anstalt (Arbeitszeit, Freizeit, Ruhezeit) zu richten. Er darf durch sein Verhalten gegenüber Vollzugsbediensteten, Mitgefangenen und anderen Personen das geordnete Zusammenleben nicht stören.</w:t>
      </w:r>
    </w:p>
    <w:p>
      <w:r>
        <w:t xml:space="preserve">(2) Der Gefangene hat die Anordnungen der Vollzugsbediensteten zu befolgen, auch wenn er sich durch sie beschwert fühlt. Einen ihm zugewiesenen Bereich darf er nicht ohne Erlaubnis verlassen.</w:t>
      </w:r>
    </w:p>
    <w:p>
      <w:r>
        <w:t xml:space="preserve">(3) Seinen Haftraum und die ihm von der Anstalt überlassenen Sachen hat er in Ordnung zu halten und schonend zu behandeln.</w:t>
      </w:r>
    </w:p>
    <w:p>
      <w:r>
        <w:t xml:space="preserve">(4) Der Gefangene hat Umstände, die eine Gefahr für das Leben oder eine erhebliche Gefahr für die Gesundheit einer Person bedeuten, unverzüglich zu melden.</w:t>
      </w:r>
    </w:p>
    <w:p>
      <w:r>
        <w:rPr>
          <w:color w:val="555555"/>
          <w:sz w:val="17"/>
        </w:rPr>
        <w:t xml:space="preserve">Zitiervorschlag: § 82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