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StVollzG — Verlegung. Überstellung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Gefangene kann abweichend vom Vollstreckungsplan in eine andere für den Vollzug der Freiheitsstrafe zuständige Anstalt verlegt werden,</w:t>
      </w:r>
    </w:p>
    <w:p>
      <w:pPr>
        <w:ind w:left="420"/>
      </w:pPr>
      <w:r>
        <w:t xml:space="preserve">1. wenn die Behandlung des Gefangenen oder seine Eingliederung nach der Entlassung hierdurch gefördert wird oder</w:t>
      </w:r>
    </w:p>
    <w:p>
      <w:pPr>
        <w:ind w:left="420"/>
      </w:pPr>
      <w:r>
        <w:t xml:space="preserve">2. wenn dies aus Gründen der Vollzugsorganisation oder aus anderen wichtigen Gründen erforderlich ist.</w:t>
      </w:r>
    </w:p>
    <w:p>
      <w:r>
        <w:t xml:space="preserve">(2) Der Gefangene darf aus wichtigem Grund in eine andere Vollzugsanstalt überstellt werden.</w:t>
      </w:r>
    </w:p>
    <w:p>
      <w:r>
        <w:rPr>
          <w:color w:val="555555"/>
          <w:sz w:val="17"/>
        </w:rPr>
        <w:t xml:space="preserve">Zitiervorschlag: § 8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https://recht.nulegal.eu/gesetze/StVollzG/8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