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StVollzG — Entlassungsbeihilfe</w:t>
      </w:r>
    </w:p>
    <w:p>
      <w:r>
        <w:rPr>
          <w:color w:val="555555"/>
          <w:sz w:val="18"/>
        </w:rPr>
        <w:t xml:space="preserve">Strafvollzugsgesetz</w:t>
      </w:r>
    </w:p>
    <w:p>
      <w:r>
        <w:rPr>
          <w:color w:val="555555"/>
          <w:sz w:val="18"/>
        </w:rPr>
        <w:t xml:space="preserve">Stand: 10.06.2019 (konsolidierte Textfassung, kein amtliches Inkrafttretensdatum)</w:t>
      </w:r>
    </w:p>
    <w:p>
      <w:r>
        <w:t xml:space="preserve">(1) Der Gefangene erhält, soweit seine eigenen Mittel nicht ausreichen, von der Anstalt eine Beihilfe zu den Reisekosten sowie eine Überbrückungsbeihilfe und erforderlichenfalls ausreichende Kleidung.</w:t>
      </w:r>
    </w:p>
    <w:p>
      <w:r>
        <w:t xml:space="preserve">(2) Bei der Bemessung der Höhe der Überbrückungsbeihilfe sind die Dauer des Freiheitsentzuges, der persönliche Arbeitseinsatz des Gefangenen und die Wirtschaftlichkeit seiner Verfügungen über Eigengeld und Hausgeld während der Strafzeit zu berücksichtigen. § 51 Abs. 2 Satz 2 und 3 gilt entsprechend. Die Überbrückungsbeihilfe kann ganz oder teilweise auch dem Unterhaltsberechtigten überwiesen werden.</w:t>
      </w:r>
    </w:p>
    <w:p>
      <w:r>
        <w:t xml:space="preserve">(3) Der Anspruch auf Beihilfe zu den Reisekosten und die ausgezahlte Reisebeihilfe sind unpfändbar. Für den Anspruch auf Überbrückungsbeihilfe und für Bargeld nach Auszahlung einer Überbrückungsbeihilfe an den Gefangenen gilt § 51 Abs. 4 Satz 1 und 3, Abs. 5 entsprechend.</w:t>
      </w:r>
    </w:p>
    <w:p>
      <w:r>
        <w:rPr>
          <w:color w:val="555555"/>
          <w:sz w:val="17"/>
        </w:rPr>
        <w:t xml:space="preserve">Zitiervorschlag: § 75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