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StVollzG — Hilfe zur Entlassung</w:t>
      </w:r>
    </w:p>
    <w:p>
      <w:r>
        <w:rPr>
          <w:color w:val="555555"/>
          <w:sz w:val="18"/>
        </w:rPr>
        <w:t xml:space="preserve">Strafvollzugsgesetz</w:t>
      </w:r>
    </w:p>
    <w:p>
      <w:r>
        <w:rPr>
          <w:color w:val="555555"/>
          <w:sz w:val="18"/>
        </w:rPr>
        <w:t xml:space="preserve">Stand: 10.06.2019 (konsolidierte Textfassung, kein amtliches Inkrafttretensdatum)</w:t>
      </w:r>
    </w:p>
    <w:p>
      <w:r>
        <w:t xml:space="preserve">Um die Entlassung vorzubereiten, ist der Gefangene bei der Ordnung seiner persönlichen, wirtschaftlichen und sozialen Angelegenheiten zu beraten. Die Beratung erstreckt sich auch auf die Benennung der für Sozialleistungen zuständigen Stellen. Dem Gefangenen ist zu helfen, Arbeit, Unterkunft und persönlichen Beistand für die Zeit nach der Entlassung zu finden.</w:t>
      </w:r>
    </w:p>
    <w:p>
      <w:r>
        <w:rPr>
          <w:color w:val="555555"/>
          <w:sz w:val="17"/>
        </w:rPr>
        <w:t xml:space="preserve">Zitiervorschlag: § 74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