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65 StVollzG — Verlegung</w:t>
      </w:r>
    </w:p>
    <w:p>
      <w:r>
        <w:rPr>
          <w:color w:val="555555"/>
          <w:sz w:val="18"/>
        </w:rPr>
        <w:t xml:space="preserve">Strafvollzugsgesetz</w:t>
      </w:r>
    </w:p>
    <w:p>
      <w:r>
        <w:rPr>
          <w:color w:val="555555"/>
          <w:sz w:val="18"/>
        </w:rPr>
        <w:t xml:space="preserve">Stand: 10.06.2019 (konsolidierte Textfassung, kein amtliches Inkrafttretensdatum)</w:t>
      </w:r>
    </w:p>
    <w:p>
      <w:r>
        <w:t xml:space="preserve">(1) Ein kranker Gefangener kann in ein Anstaltskrankenhaus oder in eine für die Behandlung seiner Krankheit besser geeignete Vollzugsanstalt verlegt werden.</w:t>
      </w:r>
    </w:p>
    <w:p>
      <w:r>
        <w:t xml:space="preserve">(2) Kann die Krankheit eines Gefangenen in einer Vollzugsanstalt oder einem Anstaltskrankenhaus nicht erkannt oder behandelt werden oder ist es nicht möglich, den Gefangenen rechtzeitig in ein Anstaltskrankenhaus zu verlegen, ist dieser in ein Krankenhaus außerhalb des Vollzuges zu bringen.</w:t>
      </w:r>
    </w:p>
    <w:p>
      <w:r>
        <w:rPr>
          <w:color w:val="555555"/>
          <w:sz w:val="17"/>
        </w:rPr>
        <w:t xml:space="preserve">Zitiervorschlag: § 65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65 StVollzG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