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StVollzG — Zuschüsse zu Zahnersatz und Zahnkronen</w:t>
      </w:r>
    </w:p>
    <w:p>
      <w:r>
        <w:rPr>
          <w:color w:val="555555"/>
          <w:sz w:val="18"/>
        </w:rPr>
        <w:t xml:space="preserve">Strafvollzugsgesetz</w:t>
      </w:r>
    </w:p>
    <w:p>
      <w:r>
        <w:rPr>
          <w:color w:val="555555"/>
          <w:sz w:val="18"/>
        </w:rPr>
        <w:t xml:space="preserve">Stand: 10.06.2019 (konsolidierte Textfassung, kein amtliches Inkrafttretensdatum)</w:t>
      </w:r>
    </w:p>
    <w:p>
      <w:r>
        <w:t xml:space="preserve">Die Landesjustizverwaltungen bestimmen durch allgemeine Verwaltungsvorschriften die Höhe der Zuschüsse zu den Kosten der zahnärztlichen Behandlung und der zahntechnischen Leistungen bei der Versorgung mit Zahnersatz. Sie können bestimmen, daß die gesamten Kosten übernommen werden.</w:t>
      </w:r>
    </w:p>
    <w:p>
      <w:r>
        <w:rPr>
          <w:color w:val="555555"/>
          <w:sz w:val="17"/>
        </w:rPr>
        <w:t xml:space="preserve">Zitiervorschlag: § 62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