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54 StVollzG — Religiöse Veranstaltungen</w:t>
      </w:r>
    </w:p>
    <w:p>
      <w:r>
        <w:rPr>
          <w:color w:val="555555"/>
          <w:sz w:val="18"/>
        </w:rPr>
        <w:t xml:space="preserve">Strafvollzugsgesetz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Gefangene hat das Recht, am Gottesdienst und an anderen religiösen Veranstaltungen seines Bekenntnisses teilzunehmen.</w:t>
      </w:r>
    </w:p>
    <w:p>
      <w:r>
        <w:t xml:space="preserve">(2) Zu dem Gottesdienst oder zu religiösen Veranstaltungen einer anderen Religionsgemeinschaft wird der Gefangene zugelassen, wenn deren Seelsorger zustimmt.</w:t>
      </w:r>
    </w:p>
    <w:p>
      <w:r>
        <w:t xml:space="preserve">(3) Der Gefangene kann von der Teilnahme am Gottesdienst oder anderen religiösen Veranstaltungen ausgeschlossen werden, wenn dies aus überwiegenden Gründen der Sicherheit oder Ordnung geboten ist; der Seelsorger soll vorher gehört werden.</w:t>
      </w:r>
    </w:p>
    <w:p>
      <w:r>
        <w:rPr>
          <w:color w:val="555555"/>
          <w:sz w:val="17"/>
        </w:rPr>
        <w:t xml:space="preserve">Zitiervorschlag: § 54 StVollzG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https://recht.nulegal.eu/gesetze/StVollzG/54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