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52 StVollzG — Eigengeld</w:t>
      </w:r>
    </w:p>
    <w:p>
      <w:r>
        <w:rPr>
          <w:color w:val="555555"/>
          <w:sz w:val="18"/>
        </w:rPr>
        <w:t xml:space="preserve">Strafvollzugsgesetz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Bezüge des Gefangenen, die nicht als Hausgeld, Haftkostenbeitrag, Unterhaltsbeitrag oder Überbrückungsgeld in Anspruch genommen werden, sind dem Gefangenen zum Eigengeld gutzuschreiben.</w:t>
      </w:r>
    </w:p>
    <w:p>
      <w:r>
        <w:rPr>
          <w:color w:val="555555"/>
          <w:sz w:val="17"/>
        </w:rPr>
        <w:t xml:space="preserve">Zitiervorschlag: § 52 StVollzG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https://recht.nulegal.eu/gesetze/StVollzG/52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