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StVollzG — Hausgeld</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darf von seinen in diesem Gesetz geregelten Bezügen drei Siebtel monatlich (Hausgeld) und das Taschengeld (§ 46) für den Einkauf (§ 22 Abs. 1) oder anderweitig verwenden.</w:t>
      </w:r>
    </w:p>
    <w:p>
      <w:r>
        <w:t xml:space="preserve">(2) Für Gefangene, die in einem freien Beschäftigungsverhältnis stehen (§ 39 Abs. 1) oder denen gestattet ist, sich selbst zu beschäftigen (§ 39 Abs. 2), wird aus ihren Bezügen ein angemessenes Hausgeld festgesetzt.</w:t>
      </w:r>
    </w:p>
    <w:p>
      <w:r>
        <w:rPr>
          <w:color w:val="555555"/>
          <w:sz w:val="17"/>
        </w:rPr>
        <w:t xml:space="preserve">Zitiervorschlag: § 47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