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StVollzG — Gerichtliche Termine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Anstaltsleiter kann einem Gefangenen zur Teilnahme an einem gerichtlichen Termin Ausgang oder Urlaub erteilen, wenn anzunehmen ist, daß er der Ladung folgt und keine Entweichungs- oder Mißbrauchsgefahr (§ 11 Abs. 2) besteht. § 13 Abs. 5 und § 14 gelten entsprechend.</w:t>
      </w:r>
    </w:p>
    <w:p>
      <w:r>
        <w:t xml:space="preserve">(2) Wenn ein Gefangener zu einem gerichtlichen Termin geladen ist und Ausgang oder Urlaub nicht gewährt wird, läßt der Anstaltsleiter ihn mit seiner Zustimmung zu dem Termin ausführen, sofern wegen Entweichungs- oder Mißbrauchsgefahr (§ 11 Abs. 2) keine überwiegenden Gründe entgegenstehen. Auf Ersuchen eines Gerichts läßt er den Gefangenen vorführen, sofern ein Vorführungsbefehl vorliegt.</w:t>
      </w:r>
    </w:p>
    <w:p>
      <w:r>
        <w:t xml:space="preserve">(3) Die Vollzugsbehörde unterrichtet das Gericht über das Veranlaßte.</w:t>
      </w:r>
    </w:p>
    <w:p>
      <w:r>
        <w:rPr>
          <w:color w:val="555555"/>
          <w:sz w:val="17"/>
        </w:rPr>
        <w:t xml:space="preserve">Zitiervorschlag: § 36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