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StVollzG — Pakete</w:t>
      </w:r>
    </w:p>
    <w:p>
      <w:r>
        <w:rPr>
          <w:color w:val="555555"/>
          <w:sz w:val="18"/>
        </w:rPr>
        <w:t xml:space="preserve">Strafvollzugsgesetz</w:t>
      </w:r>
    </w:p>
    <w:p>
      <w:r>
        <w:rPr>
          <w:color w:val="555555"/>
          <w:sz w:val="18"/>
        </w:rPr>
        <w:t xml:space="preserve">Stand: 10.06.2019 (konsolidierte Textfassung, kein amtliches Inkrafttretensdatum)</w:t>
      </w:r>
    </w:p>
    <w:p>
      <w:r>
        <w:t xml:space="preserve">(1) Der Gefangene darf dreimal jährlich in angemessenen Abständen ein Paket mit Nahrungs- und Genußmitteln empfangen. Die Vollzugsbehörde kann Zeitpunkt und Höchstmengen für die Sendung und für einzelne Gegenstände festsetzen. Der Empfang weiterer Pakete oder solcher mit anderem Inhalt bedarf ihrer Erlaubnis. Für den Ausschluß von Gegenständen gilt § 22 Abs. 2 entsprechend.</w:t>
      </w:r>
    </w:p>
    <w:p>
      <w:r>
        <w:t xml:space="preserve">(2) Pakete sind in Gegenwart des Gefangenen zu öffnen. Ausgeschlossene Gegenstände können zu seiner Habe genommen oder dem Absender zurückgesandt werden. Nicht ausgehändigte Gegenstände, durch die bei der Versendung oder Aufbewahrung Personen verletzt oder Sachschäden verursacht werden können, dürfen vernichtet werden. Die hiernach getroffenen Maßnahmen werden dem Gefangenen eröffnet.</w:t>
      </w:r>
    </w:p>
    <w:p>
      <w:r>
        <w:t xml:space="preserve">(3) Der Empfang von Paketen kann vorübergehend versagt werden, wenn dies wegen Gefährdung der Sicherheit oder Ordnung der Anstalt unerläßlich ist.</w:t>
      </w:r>
    </w:p>
    <w:p>
      <w:r>
        <w:t xml:space="preserve">(4) Dem Gefangenen kann gestattet werden, Pakete zu versenden. Die Vollzugsbehörde kann ihren Inhalt aus Gründen der Sicherheit oder Ordnung der Anstalt überprüfen.</w:t>
      </w:r>
    </w:p>
    <w:p>
      <w:r>
        <w:rPr>
          <w:color w:val="555555"/>
          <w:sz w:val="17"/>
        </w:rPr>
        <w:t xml:space="preserve">Zitiervorschlag: § 33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