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StVollzG — Weiterleitung von Schreiben. Aufbewahrung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hat Absendung und Empfang seiner Schreiben durch die Anstalt vermitteln zu lassen, soweit nichts anderes gestattet ist.</w:t>
      </w:r>
    </w:p>
    <w:p>
      <w:r>
        <w:t xml:space="preserve">(2) Eingehende und ausgehende Schreiben sind unverzüglich weiterzuleiten.</w:t>
      </w:r>
    </w:p>
    <w:p>
      <w:r>
        <w:t xml:space="preserve">(3) Der Gefangene hat eingehende Schreiben unverschlossen zu verwahren, sofern nichts anderes gestattet wird; er kann sie verschlossen zu seiner Habe geben.</w:t>
      </w:r>
    </w:p>
    <w:p>
      <w:r>
        <w:rPr>
          <w:color w:val="555555"/>
          <w:sz w:val="17"/>
        </w:rPr>
        <w:t xml:space="preserve">Zitiervorschlag: § 30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