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StVollzG — Gestaltung des Vollzuges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Leben im Vollzug soll den allgemeinen Lebensverhältnissen soweit als möglich angeglichen werden.</w:t>
      </w:r>
    </w:p>
    <w:p>
      <w:r>
        <w:t xml:space="preserve">(2) Schädlichen Folgen des Freiheitsentzuges ist entgegenzuwirken.</w:t>
      </w:r>
    </w:p>
    <w:p>
      <w:r>
        <w:t xml:space="preserve">(3) Der Vollzug ist darauf auszurichten, daß er dem Gefangenen hilft, sich in das Leben in Freiheit einzugliedern.</w:t>
      </w:r>
    </w:p>
    <w:p>
      <w:r>
        <w:rPr>
          <w:color w:val="555555"/>
          <w:sz w:val="17"/>
        </w:rPr>
        <w:t xml:space="preserve">Zitiervorschlag: § 3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