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29 StVollzG — Überwachung des Schriftwechsels</w:t>
      </w:r>
    </w:p>
    <w:p>
      <w:r>
        <w:rPr>
          <w:color w:val="555555"/>
          <w:sz w:val="18"/>
        </w:rPr>
        <w:t xml:space="preserve">Strafvollzugsgesetz</w:t>
      </w:r>
    </w:p>
    <w:p>
      <w:r>
        <w:rPr>
          <w:color w:val="555555"/>
          <w:sz w:val="18"/>
        </w:rPr>
        <w:t xml:space="preserve">Stand: 10.06.2019 (konsolidierte Textfassung, kein amtliches Inkrafttretensdatum)</w:t>
      </w:r>
    </w:p>
    <w:p>
      <w:r>
        <w:t xml:space="preserve">(1) Der Schriftwechsel des Gefangenen mit seinem Verteidiger wird nicht überwacht. Liegt dem Vollzug der Freiheitsstrafe eine Straftat nach § 129a, auch in Verbindung mit § 129b Abs. 1, des Strafgesetzbuches zugrunde, gelten § 148 Abs. 2, § 148a der Strafprozeßordnung entsprechend; dies gilt nicht, wenn der Gefangene sich in einer Einrichtung des offenen Vollzuges befindet oder wenn ihm Lockerungen des Vollzuges gemäß § 11 Abs. 1 Nr. 1 oder 2 zweiter Halbsatz oder Urlaub gemäß § 13 oder § 15 Abs. 3 gewährt worden sind und ein Grund, der den Anstaltsleiter nach § 14 Abs. 2 zum Widerruf oder zur Zurücknahme von Lockerungen und Urlaub ermächtigt, nicht vorliegt. Satz 2 gilt auch, wenn gegen einen Strafgefangenen im Anschluß an die dem Vollzug der Freiheitsstrafe zugrundeliegende Verurteilung eine Freiheitsstrafe wegen einer Straftat nach § 129a, auch in Verbindung mit § 129b Abs. 1, des Strafgesetzbuches zu vollstrecken ist.</w:t>
      </w:r>
    </w:p>
    <w:p>
      <w:r>
        <w:t xml:space="preserve">(2) Nicht überwacht werden ferner Schreiben des Gefangenen an Volksvertretungen des Bundes und der Länder sowie an deren Mitglieder, soweit die Schreiben an die Anschriften dieser Volksvertretungen gerichtet sind und den Absender zutreffend angeben. Entsprechendes gilt für Schreiben an das Europäische Parlament und dessen Mitglieder, den Europäischen Gerichtshof für Menschenrechte, die Europäische Kommission für Menschenrechte, den Europäischen Ausschuß zur Verhütung von Folter und unmenschlicher oder erniedrigender Behandlung oder Strafe und die Datenschutzbeauftragten des Bundes und der Länder. Schreiben der in den Sätzen 1 und 2 genannten Stellen, die an den Gefangenen gerichtet sind, werden nicht überwacht, sofern die Identität des Absenders zweifelsfrei feststeht.</w:t>
      </w:r>
    </w:p>
    <w:p>
      <w:r>
        <w:t xml:space="preserve">(3) Der übrige Schriftwechsel darf überwacht werden, soweit es aus Gründen der Behandlung oder der Sicherheit oder Ordnung der Anstalt erforderlich ist.</w:t>
      </w:r>
    </w:p>
    <w:p>
      <w:r>
        <w:rPr>
          <w:color w:val="555555"/>
          <w:sz w:val="17"/>
        </w:rPr>
        <w:t xml:space="preserve">Zitiervorschlag: § 29 StVollzG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https://recht.nulegal.eu/gesetze/StVollzG/29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29 StVollzG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