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StVollzG — Besuchsverbot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Anstaltsleiter kann Besuche untersagen,</w:t>
      </w:r>
    </w:p>
    <w:p>
      <w:pPr>
        <w:ind w:left="420"/>
      </w:pPr>
      <w:r>
        <w:t xml:space="preserve">1. wenn die Sicherheit oder Ordnung der Anstalt gefährdet würde,</w:t>
      </w:r>
    </w:p>
    <w:p>
      <w:pPr>
        <w:ind w:left="420"/>
      </w:pPr>
      <w:r>
        <w:t xml:space="preserve">2. bei Besuchern, die nicht Angehörige des Gefangenen im Sinne des Strafgesetzbuches sind, wenn zu befürchten ist, daß sie einen schädlichen Einfluß auf den Gefangenen haben oder seine Eingliederung behindern würden.</w:t>
      </w:r>
    </w:p>
    <w:p>
      <w:r>
        <w:rPr>
          <w:color w:val="555555"/>
          <w:sz w:val="17"/>
        </w:rPr>
        <w:t xml:space="preserve">Zitiervorschlag: § 25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