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StVollzG — Aufgaben des Vollzuges</w:t>
      </w:r>
    </w:p>
    <w:p>
      <w:r>
        <w:rPr>
          <w:color w:val="555555"/>
          <w:sz w:val="18"/>
        </w:rPr>
        <w:t xml:space="preserve">Strafvollzugsgesetz</w:t>
      </w:r>
    </w:p>
    <w:p>
      <w:r>
        <w:rPr>
          <w:color w:val="555555"/>
          <w:sz w:val="18"/>
        </w:rPr>
        <w:t xml:space="preserve">Stand: 10.06.2019 (konsolidierte Textfassung, kein amtliches Inkrafttretensdatum)</w:t>
      </w:r>
    </w:p>
    <w:p>
      <w:r>
        <w:t xml:space="preserve">Im Vollzug der Freiheitsstrafe soll der Gefangene fähig werden, künftig in sozialer Verantwortung ein Leben ohne Straftaten zu führen (Vollzugsziel). Der Vollzug der Freiheitsstrafe dient auch dem Schutz der Allgemeinheit vor weiteren Straftaten.</w:t>
      </w:r>
    </w:p>
    <w:p>
      <w:r>
        <w:rPr>
          <w:color w:val="555555"/>
          <w:sz w:val="17"/>
        </w:rPr>
        <w:t xml:space="preserve">Zitiervorschlag: § 2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