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196 StVollzG — Einschränkung von Grundrechten</w:t>
      </w:r>
    </w:p>
    <w:p>
      <w:r>
        <w:rPr>
          <w:color w:val="555555"/>
          <w:sz w:val="18"/>
        </w:rPr>
        <w:t xml:space="preserve">Strafvollzugsgesetz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Durch dieses Gesetz werden die Grundrechte aus Artikel 2 Abs. 2 Satz 1 und 2 (körperliche Unversehrtheit und Freiheit der Person) und Artikel 10 Abs. 1 (Brief-, Post- und Fernmeldegeheimnis) des Grundgesetzes eingeschränkt.</w:t>
      </w:r>
    </w:p>
    <w:p>
      <w:r>
        <w:rPr>
          <w:color w:val="555555"/>
          <w:sz w:val="17"/>
        </w:rPr>
        <w:t xml:space="preserve">Zitiervorschlag: § 196 StVollzG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https://recht.nulegal.eu/gesetze/StVollzG/196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