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192 StVollzG — Reichsknappschaftsgesetz</w:t>
      </w:r>
    </w:p>
    <w:p>
      <w:r>
        <w:rPr>
          <w:color w:val="555555"/>
          <w:sz w:val="18"/>
        </w:rPr>
        <w:t xml:space="preserve">Strafvollzugsgesetz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192 StVollzG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https://recht.nulegal.eu/gesetze/StVollzG/192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