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184 StVollzG — Berichtigung, Löschung und Einschränkung der Verarbeitung</w:t>
      </w:r>
    </w:p>
    <w:p>
      <w:r>
        <w:rPr>
          <w:color w:val="555555"/>
          <w:sz w:val="18"/>
        </w:rPr>
        <w:t xml:space="preserve">Strafvollzugsgesetz</w:t>
      </w:r>
    </w:p>
    <w:p>
      <w:r>
        <w:rPr>
          <w:color w:val="555555"/>
          <w:sz w:val="18"/>
        </w:rPr>
        <w:t xml:space="preserve">Stand: 10.12.2019 (konsolidierte Textfassung, kein amtliches Inkrafttretensdatum)</w:t>
      </w:r>
    </w:p>
    <w:p>
      <w:r>
        <w:t xml:space="preserve">(1) Die in Dateisystemen gespeicherten personenbezogenen Daten sind spätestens zwei Jahre nach der Entlassung des Gefangenen oder der Verlegung des Gefangenen in eine andere Anstalt zu löschen. Hiervon können bis zum Ablauf der Aufbewahrungsfrist für die Gefangenenpersonalakte die Angaben über Familienname, Vorname, Geburtsname, Geburtstag, Geburtsort, Eintritts- und Austrittsdatum des Gefangenen ausgenommen werden, soweit dies für das Auffinden der Gefangenenpersonalakte erforderlich ist.</w:t>
      </w:r>
    </w:p>
    <w:p>
      <w:r>
        <w:t xml:space="preserve">(2) Personenbezogene Daten in Akten dürfen nach Ablauf von zwei Jahren seit der Entlassung des Gefangenen nur verarbeitet werden, soweit dies</w:t>
      </w:r>
    </w:p>
    <w:p>
      <w:pPr>
        <w:ind w:left="420"/>
      </w:pPr>
      <w:r>
        <w:t xml:space="preserve">1. zur Verfolgung von Straftaten,</w:t>
      </w:r>
    </w:p>
    <w:p>
      <w:pPr>
        <w:ind w:left="420"/>
      </w:pPr>
      <w:r>
        <w:t xml:space="preserve">2. für die Durchführung wissenschaftlicher Forschungsvorhaben gemäß § 186 Absatz 1,</w:t>
      </w:r>
    </w:p>
    <w:p>
      <w:pPr>
        <w:ind w:left="420"/>
      </w:pPr>
      <w:r>
        <w:t xml:space="preserve">3. zur Behebung einer bestehenden Beweisnot,</w:t>
      </w:r>
    </w:p>
    <w:p>
      <w:pPr>
        <w:ind w:left="420"/>
      </w:pPr>
      <w:r>
        <w:t xml:space="preserve">4. zur Feststellung, Durchsetzung oder Abwehr von Rechtsansprüchen im Zusammenhang mit dem Vollzug einer Haft nach § 171</w:t>
      </w:r>
    </w:p>
    <w:p>
      <w:r>
        <w:t xml:space="preserve">unerläßlich ist. Diese Verwendungsbeschränkungen enden, wenn der Gefangene erneut zum Vollzug einer Haft nach § 171 aufgenommen wird oder die betroffene Person eingewilligt hat.</w:t>
      </w:r>
    </w:p>
    <w:p>
      <w:r>
        <w:t xml:space="preserve">(3) Bei der Aufbewahrung von Akten mit nach Absatz 2 der eingeschränkten Verarbeitung unterliegenden Daten dürfen folgende Fristen nicht überschritten werden:</w:t>
      </w:r>
    </w:p>
    <w:p>
      <w:r>
        <w:rPr>
          <w:rFonts w:ascii="Courier New" w:hAnsi="Courier New"/>
          <w:sz w:val="17"/>
        </w:rPr>
        <w:t xml:space="preserve">Gefangenenpersonalakten, Gesundheitsakten und Krankenblätter    20 Jahre,</w:t>
      </w:r>
    </w:p>
    <w:p>
      <w:r>
        <w:rPr>
          <w:rFonts w:ascii="Courier New" w:hAnsi="Courier New"/>
          <w:sz w:val="17"/>
        </w:rPr>
        <w:t xml:space="preserve">Gefangenenbücher    30 Jahre.</w:t>
      </w:r>
    </w:p>
    <w:p>
      <w:r>
        <w:t xml:space="preserve">es gilt nicht, wenn aufgrund bestimmter Tatsachen anzunehmen ist, daß die Aufbewahrung für die in Absatz 2 Satz 1 genannten Zwecke weiterhin erforderlich ist. Die Aufbewahrungsfrist beginnt mit dem auf das Jahr der aktenmäßigen Weglegung folgenden Kalenderjahr. Die archivrechtlichen Vorschriften des Bundes und der Länder bleiben unberührt.</w:t>
      </w:r>
    </w:p>
    <w:p>
      <w:r>
        <w:t xml:space="preserve">(4) Wird festgestellt, daß unrichtige Daten übermittelt worden sind, ist dies dem Empfänger mitzuteilen, wenn dies zur Wahrung schutzwürdiger Interessen der betroffenen Person erforderlich ist.</w:t>
      </w:r>
    </w:p>
    <w:p>
      <w:r>
        <w:t xml:space="preserve">(5) (weggefallen)</w:t>
      </w:r>
    </w:p>
    <w:p>
      <w:r>
        <w:rPr>
          <w:color w:val="555555"/>
          <w:sz w:val="17"/>
        </w:rPr>
        <w:t xml:space="preserve">Zitiervorschlag: § 184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