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177 StVollzG — Untersuchungshaft</w:t>
      </w:r>
    </w:p>
    <w:p>
      <w:r>
        <w:rPr>
          <w:color w:val="555555"/>
          <w:sz w:val="18"/>
        </w:rPr>
        <w:t xml:space="preserve">Strafvollzugsgesetz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Übt der Untersuchungsgefangene eine ihm zugewiesene Arbeit, Beschäftigung oder Hilfstätigkeit aus, so erhält er ein nach § 43 Abs. 2 bis 5 zu bemessendes und bekannt zu gebendes Arbeitsentgelt. Der Bemessung des Arbeitsentgelts ist abweichend von § 200 fünf vom Hundert der Bezugsgröße nach § 18 des Vierten Buches Sozialgesetzbuch zu Grunde zu legen (Eckvergütung). § 43 Abs. 6 bis 11 findet keine Anwendung. Für junge und heranwachsende Untersuchungsgefangene gilt § 176 Abs. 1 Satz 1 und 2 entsprechend.</w:t>
      </w:r>
    </w:p>
    <w:p>
      <w:r>
        <w:rPr>
          <w:color w:val="555555"/>
          <w:sz w:val="17"/>
        </w:rPr>
        <w:t xml:space="preserve">Zitiervorschlag: § 177 StVollzG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https://recht.nulegal.eu/gesetze/StVollzG/177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