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166 StVollzG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10.12.2019 (konsolidierte Textfassung, kein amtliches Inkrafttretensdatum)</w:t>
      </w:r>
    </w:p>
    <w:p>
      <w:r>
        <w:t xml:space="preserve">(1) Dem kriminologischen Dienst obliegt es, in Zusammenarbeit mit den Einrichtungen der Forschung den Vollzug, namentlich die Behandlungsmethoden, wissenschaftlich fortzuentwickeln und seine Ergebnisse für Zwecke der Strafrechtspflege nutzbar zu machen.</w:t>
      </w:r>
    </w:p>
    <w:p>
      <w:r>
        <w:t xml:space="preserve">(2) § 186 Absatz 1 gilt entsprechend.</w:t>
      </w:r>
    </w:p>
    <w:p>
      <w:r>
        <w:rPr>
          <w:color w:val="555555"/>
          <w:sz w:val="17"/>
        </w:rPr>
        <w:t xml:space="preserve">Zitiervorschlag: § 166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https://recht.nulegal.eu/gesetze/StVollzG/166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