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164 StVollzG — Befugnisse</w:t>
      </w:r>
    </w:p>
    <w:p>
      <w:r>
        <w:rPr>
          <w:color w:val="555555"/>
          <w:sz w:val="18"/>
        </w:rPr>
        <w:t xml:space="preserve">Strafvollzugsgesetz</w:t>
      </w:r>
    </w:p>
    <w:p>
      <w:r>
        <w:rPr>
          <w:color w:val="555555"/>
          <w:sz w:val="18"/>
        </w:rPr>
        <w:t xml:space="preserve">Stand: 10.06.2019 (konsolidierte Textfassung, kein amtliches Inkrafttretensdatum)</w:t>
      </w:r>
    </w:p>
    <w:p>
      <w:r>
        <w:t xml:space="preserve">(1) Die Mitglieder des Beirats können namentlich Wünsche, Anregungen und Beanstandungen entgegennehmen. Sie können sich über die Unterbringung, Beschäftigung, berufliche Bildung, Verpflegung, ärztliche Versorgung und Behandlung unterrichten sowie die Anstalt und ihre Einrichtungen besichtigen.</w:t>
      </w:r>
    </w:p>
    <w:p>
      <w:r>
        <w:t xml:space="preserve">(2) Die Mitglieder des Beirats können die Gefangenen und Untergebrachten in ihren Räumen aufsuchen. Aussprache und Schriftwechsel werden nicht überwacht.</w:t>
      </w:r>
    </w:p>
    <w:p>
      <w:r>
        <w:rPr>
          <w:color w:val="555555"/>
          <w:sz w:val="17"/>
        </w:rPr>
        <w:t xml:space="preserve">Zitiervorschlag: § 164 StVollzG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https://recht.nulegal.eu/gesetze/StVollzG/164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