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144 StVollzG — Größe und Ausgestaltung der Räume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Räume für den Aufenthalt während der Ruhe- und Freizeit sowie Gemeinschafts- und Besuchsräume sind wohnlich oder sonst ihrem Zweck entsprechend auszugestalten. Sie müssen hinreichend Luftinhalt haben und für eine gesunde Lebensführung ausreichend mit Heizung und Lüftung, Boden- und Fensterfläche ausgestattet sein.</w:t>
      </w:r>
    </w:p>
    <w:p>
      <w:r>
        <w:t xml:space="preserve">(2) Das Bundesministerium der Justiz und für Verbraucherschutz wird ermächtigt, mit Zustimmung des Bundesrates durch Rechtsverordnung Näheres über den Luftinhalt, die Lüftung, die Boden- und Fensterfläche sowie die Heizung und Einrichtung der Räume zu bestimmen.</w:t>
      </w:r>
    </w:p>
    <w:p>
      <w:r>
        <w:rPr>
          <w:color w:val="555555"/>
          <w:sz w:val="17"/>
        </w:rPr>
        <w:t xml:space="preserve">Zitiervorschlag: § 144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https://recht.nulegal.eu/gesetze/StVollzG/144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